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EBE5F" w14:textId="77777777" w:rsidR="00C33512" w:rsidRDefault="00C33512" w:rsidP="00C33512">
      <w:pPr>
        <w:spacing w:before="240" w:after="0" w:line="288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0636F1E">
        <w:rPr>
          <w:rFonts w:ascii="Garamond" w:hAnsi="Garamond"/>
          <w:b/>
          <w:bCs/>
          <w:sz w:val="24"/>
          <w:szCs w:val="24"/>
          <w:u w:val="single"/>
        </w:rPr>
        <w:t>COMUNICATO STAMPA</w:t>
      </w:r>
    </w:p>
    <w:p w14:paraId="4BEA2318" w14:textId="77777777" w:rsidR="00C33512" w:rsidRPr="00636F1E" w:rsidRDefault="00C33512" w:rsidP="00C33512">
      <w:pPr>
        <w:spacing w:before="240" w:after="0" w:line="288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14:paraId="70512EBA" w14:textId="4633B347" w:rsidR="00C33512" w:rsidRDefault="00C33512" w:rsidP="00C33512">
      <w:pPr>
        <w:jc w:val="center"/>
        <w:rPr>
          <w:rFonts w:ascii="Garamond" w:hAnsi="Garamond"/>
        </w:rPr>
      </w:pPr>
      <w:r w:rsidRPr="00EE7DDA">
        <w:rPr>
          <w:rFonts w:ascii="Garamond" w:eastAsiaTheme="majorEastAsia" w:hAnsi="Garamond" w:cstheme="majorBidi"/>
          <w:b/>
          <w:bCs/>
          <w:color w:val="000000"/>
          <w:sz w:val="28"/>
          <w:szCs w:val="28"/>
        </w:rPr>
        <w:t xml:space="preserve">Legge annuale sulle MPMI: il contributo di Confprofessioni per una strategia di sviluppo </w:t>
      </w:r>
      <w:r>
        <w:rPr>
          <w:rFonts w:ascii="Garamond" w:eastAsiaTheme="majorEastAsia" w:hAnsi="Garamond" w:cstheme="majorBidi"/>
          <w:b/>
          <w:bCs/>
          <w:color w:val="000000"/>
          <w:sz w:val="28"/>
          <w:szCs w:val="28"/>
        </w:rPr>
        <w:t>di medio e lungo periodo</w:t>
      </w:r>
    </w:p>
    <w:p w14:paraId="2B0639B6" w14:textId="39E06F15" w:rsidR="00C33512" w:rsidRPr="00C33512" w:rsidRDefault="00C33512" w:rsidP="00C33512">
      <w:pPr>
        <w:jc w:val="center"/>
        <w:rPr>
          <w:rFonts w:ascii="Garamond" w:hAnsi="Garamond" w:cstheme="minorHAnsi"/>
          <w:bCs/>
          <w:i/>
          <w:iCs/>
          <w:sz w:val="24"/>
          <w:szCs w:val="24"/>
        </w:rPr>
      </w:pPr>
      <w:r w:rsidRPr="00C33512">
        <w:rPr>
          <w:rFonts w:ascii="Garamond" w:hAnsi="Garamond"/>
          <w:i/>
          <w:iCs/>
          <w:color w:val="000000"/>
          <w:sz w:val="24"/>
          <w:szCs w:val="24"/>
        </w:rPr>
        <w:t>Natali: quattro direttrici strategiche per favorire lo sviluppo delle microimprese e del lavoro professionale: aggregazione e crescita dimensionale, internazionalizzazione, semplificazioni e ricambio generazionale</w:t>
      </w:r>
    </w:p>
    <w:p w14:paraId="44AD6EDC" w14:textId="77777777" w:rsidR="00C33512" w:rsidRPr="00C33512" w:rsidRDefault="00C33512" w:rsidP="00C33512">
      <w:pPr>
        <w:jc w:val="center"/>
        <w:rPr>
          <w:rFonts w:ascii="Garamond" w:hAnsi="Garamond" w:cstheme="minorHAnsi"/>
          <w:bCs/>
          <w:i/>
          <w:iCs/>
        </w:rPr>
      </w:pPr>
    </w:p>
    <w:p w14:paraId="19BBF973" w14:textId="434CB09D" w:rsidR="00C33512" w:rsidRDefault="00C33512" w:rsidP="00C33512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28 luglio 2025 - </w:t>
      </w:r>
      <w:r w:rsidR="00C87A53">
        <w:rPr>
          <w:rFonts w:ascii="Garamond" w:hAnsi="Garamond"/>
          <w:color w:val="000000"/>
        </w:rPr>
        <w:t>Le proposte di Confprofessioni sul</w:t>
      </w:r>
      <w:r w:rsidRPr="00C33512">
        <w:rPr>
          <w:rFonts w:ascii="Garamond" w:hAnsi="Garamond"/>
          <w:color w:val="000000"/>
        </w:rPr>
        <w:t xml:space="preserve"> disegno di legge annuale per le micro, piccole e medie imprese (MPMI), </w:t>
      </w:r>
      <w:r w:rsidR="00C87A53">
        <w:rPr>
          <w:rFonts w:ascii="Garamond" w:hAnsi="Garamond"/>
          <w:color w:val="000000"/>
        </w:rPr>
        <w:t>sono</w:t>
      </w:r>
      <w:r w:rsidRPr="00C33512">
        <w:rPr>
          <w:rFonts w:ascii="Garamond" w:hAnsi="Garamond"/>
          <w:color w:val="000000"/>
        </w:rPr>
        <w:t xml:space="preserve"> volt</w:t>
      </w:r>
      <w:r w:rsidR="00C87A53">
        <w:rPr>
          <w:rFonts w:ascii="Garamond" w:hAnsi="Garamond"/>
          <w:color w:val="000000"/>
        </w:rPr>
        <w:t>e</w:t>
      </w:r>
      <w:r w:rsidRPr="00C33512">
        <w:rPr>
          <w:rFonts w:ascii="Garamond" w:hAnsi="Garamond"/>
          <w:color w:val="000000"/>
        </w:rPr>
        <w:t xml:space="preserve"> a rafforzare la strategia di crescita del settore, mettendo in luce il ruolo centrale delle libere professioni e il potenziale delle forme di aggregazione professionale.</w:t>
      </w:r>
    </w:p>
    <w:p w14:paraId="7CEB9936" w14:textId="776A996A" w:rsidR="00C33512" w:rsidRPr="00C33512" w:rsidRDefault="00C33512" w:rsidP="00C33512">
      <w:pPr>
        <w:rPr>
          <w:rFonts w:ascii="Garamond" w:hAnsi="Garamond" w:cstheme="minorHAnsi"/>
          <w:bCs/>
        </w:rPr>
      </w:pPr>
      <w:r>
        <w:rPr>
          <w:rFonts w:ascii="Garamond" w:eastAsia="Times New Roman" w:hAnsi="Garamond" w:cs="Times New Roman"/>
        </w:rPr>
        <w:t>“</w:t>
      </w:r>
      <w:r w:rsidR="00C87A53">
        <w:rPr>
          <w:rFonts w:ascii="Garamond" w:eastAsia="Times New Roman" w:hAnsi="Garamond" w:cs="Times New Roman"/>
        </w:rPr>
        <w:t>La</w:t>
      </w:r>
      <w:r w:rsidRPr="00B77B1C">
        <w:rPr>
          <w:rFonts w:ascii="Garamond" w:hAnsi="Garamond" w:cstheme="minorHAnsi"/>
          <w:bCs/>
        </w:rPr>
        <w:t xml:space="preserve"> Legge annuale sulle </w:t>
      </w:r>
      <w:r w:rsidRPr="00073087">
        <w:rPr>
          <w:rFonts w:ascii="Garamond" w:hAnsi="Garamond" w:cstheme="minorHAnsi"/>
          <w:bCs/>
        </w:rPr>
        <w:t>MPMI</w:t>
      </w:r>
      <w:r w:rsidR="00C87A53">
        <w:rPr>
          <w:rFonts w:ascii="Garamond" w:hAnsi="Garamond" w:cstheme="minorHAnsi"/>
          <w:bCs/>
        </w:rPr>
        <w:t>, se si ragiona in prospettiva,</w:t>
      </w:r>
      <w:r w:rsidRPr="00073087">
        <w:rPr>
          <w:rFonts w:ascii="Garamond" w:hAnsi="Garamond" w:cstheme="minorHAnsi"/>
          <w:bCs/>
        </w:rPr>
        <w:t xml:space="preserve"> d</w:t>
      </w:r>
      <w:r>
        <w:rPr>
          <w:rFonts w:ascii="Garamond" w:hAnsi="Garamond" w:cstheme="minorHAnsi"/>
          <w:bCs/>
        </w:rPr>
        <w:t>ovrà</w:t>
      </w:r>
      <w:r w:rsidRPr="00073087">
        <w:rPr>
          <w:rFonts w:ascii="Garamond" w:hAnsi="Garamond" w:cstheme="minorHAnsi"/>
          <w:bCs/>
        </w:rPr>
        <w:t xml:space="preserve"> essere lo strumento primario per costruire una strategia più ampia di sviluppo</w:t>
      </w:r>
      <w:r>
        <w:rPr>
          <w:rFonts w:ascii="Garamond" w:hAnsi="Garamond" w:cstheme="minorHAnsi"/>
          <w:bCs/>
        </w:rPr>
        <w:t xml:space="preserve"> del </w:t>
      </w:r>
      <w:r w:rsidRPr="003F0B62">
        <w:rPr>
          <w:rFonts w:ascii="Garamond" w:hAnsi="Garamond" w:cstheme="minorHAnsi"/>
          <w:bCs/>
        </w:rPr>
        <w:t>settore, con una visione di medio e lungo periodo”</w:t>
      </w:r>
      <w:r>
        <w:rPr>
          <w:rFonts w:ascii="Garamond" w:hAnsi="Garamond" w:cstheme="minorHAnsi"/>
          <w:bCs/>
        </w:rPr>
        <w:t xml:space="preserve"> ha dichiarato il presidente </w:t>
      </w:r>
      <w:r w:rsidRPr="00C33512">
        <w:rPr>
          <w:rFonts w:ascii="Garamond" w:hAnsi="Garamond" w:cstheme="minorHAnsi"/>
          <w:b/>
        </w:rPr>
        <w:t>Marco Natali.</w:t>
      </w:r>
      <w:r w:rsidR="00C87A53">
        <w:rPr>
          <w:rFonts w:ascii="Garamond" w:hAnsi="Garamond" w:cstheme="minorHAnsi"/>
          <w:b/>
        </w:rPr>
        <w:t xml:space="preserve"> </w:t>
      </w:r>
      <w:r w:rsidRPr="00C33512">
        <w:rPr>
          <w:rFonts w:ascii="Garamond" w:hAnsi="Garamond"/>
          <w:color w:val="000000"/>
        </w:rPr>
        <w:t xml:space="preserve">Confprofessioni ha evidenziato in particolare </w:t>
      </w:r>
      <w:r>
        <w:rPr>
          <w:rFonts w:ascii="Garamond" w:hAnsi="Garamond"/>
          <w:color w:val="000000"/>
        </w:rPr>
        <w:t>quattro</w:t>
      </w:r>
      <w:r w:rsidRPr="00C33512">
        <w:rPr>
          <w:rFonts w:ascii="Garamond" w:hAnsi="Garamond"/>
          <w:color w:val="000000"/>
        </w:rPr>
        <w:t xml:space="preserve"> direttrici strategiche per favorire lo sviluppo delle microimprese e del lavoro professionale:</w:t>
      </w:r>
    </w:p>
    <w:p w14:paraId="7561B343" w14:textId="77777777" w:rsidR="00C33512" w:rsidRPr="00C33512" w:rsidRDefault="00C33512" w:rsidP="00C33512">
      <w:pPr>
        <w:rPr>
          <w:rFonts w:ascii="Garamond" w:hAnsi="Garamond"/>
          <w:b/>
          <w:bCs/>
          <w:color w:val="000000"/>
        </w:rPr>
      </w:pPr>
      <w:r w:rsidRPr="00C33512">
        <w:rPr>
          <w:rFonts w:ascii="Garamond" w:hAnsi="Garamond"/>
          <w:b/>
          <w:bCs/>
          <w:color w:val="000000"/>
        </w:rPr>
        <w:t>Aggregazione e crescita dimensionale</w:t>
      </w:r>
    </w:p>
    <w:p w14:paraId="7E0DDE02" w14:textId="77777777" w:rsidR="00C33512" w:rsidRPr="00261472" w:rsidRDefault="00C33512" w:rsidP="00C33512">
      <w:pPr>
        <w:ind w:firstLine="567"/>
        <w:jc w:val="both"/>
        <w:rPr>
          <w:rFonts w:ascii="Garamond" w:hAnsi="Garamond"/>
          <w:bCs/>
          <w:iCs/>
        </w:rPr>
      </w:pPr>
      <w:r w:rsidRPr="00C33512">
        <w:rPr>
          <w:rFonts w:ascii="Garamond" w:hAnsi="Garamond"/>
          <w:color w:val="000000"/>
        </w:rPr>
        <w:t>Le forme di aggregazione professionale rappresentano un’opportunità decisiva per accrescere la competitività e la resilienza delle imprese e dei professionisti.</w:t>
      </w:r>
      <w:r>
        <w:rPr>
          <w:rFonts w:ascii="Garamond" w:hAnsi="Garamond"/>
          <w:color w:val="000000"/>
        </w:rPr>
        <w:t xml:space="preserve"> </w:t>
      </w:r>
      <w:r w:rsidRPr="00C33512">
        <w:rPr>
          <w:rFonts w:ascii="Garamond" w:hAnsi="Garamond"/>
          <w:color w:val="000000"/>
        </w:rPr>
        <w:t xml:space="preserve">Confprofessioni ribadisce l’importanza di </w:t>
      </w:r>
      <w:r w:rsidRPr="00C33512">
        <w:rPr>
          <w:rFonts w:ascii="Garamond" w:hAnsi="Garamond"/>
          <w:b/>
          <w:bCs/>
          <w:color w:val="000000"/>
        </w:rPr>
        <w:t>promuovere le società tra professionisti (STP) e le società tra avvocati (STA</w:t>
      </w:r>
      <w:r w:rsidRPr="00C33512">
        <w:rPr>
          <w:rFonts w:ascii="Garamond" w:hAnsi="Garamond"/>
          <w:color w:val="000000"/>
        </w:rPr>
        <w:t xml:space="preserve">), strumenti che consentono </w:t>
      </w:r>
      <w:r w:rsidRPr="002D2E6E">
        <w:rPr>
          <w:rFonts w:ascii="Garamond" w:hAnsi="Garamond"/>
          <w:bCs/>
        </w:rPr>
        <w:t>una maggiore capitalizzazione, una gestione più strutturata e una vera e propria visione imprenditoriale</w:t>
      </w:r>
      <w:r w:rsidRPr="004C0EF8">
        <w:rPr>
          <w:rFonts w:ascii="Garamond" w:hAnsi="Garamond"/>
        </w:rPr>
        <w:t xml:space="preserve"> dell’attività professionale</w:t>
      </w:r>
      <w:r>
        <w:rPr>
          <w:rFonts w:ascii="Garamond" w:hAnsi="Garamond"/>
        </w:rPr>
        <w:t xml:space="preserve">. </w:t>
      </w:r>
      <w:r w:rsidRPr="00C33512">
        <w:rPr>
          <w:rFonts w:ascii="Garamond" w:hAnsi="Garamond"/>
          <w:color w:val="000000"/>
        </w:rPr>
        <w:t xml:space="preserve">Parallelamente, si propone di sostenere anche le forme aggregative più </w:t>
      </w:r>
      <w:r>
        <w:rPr>
          <w:rFonts w:ascii="Garamond" w:hAnsi="Garamond"/>
          <w:color w:val="000000"/>
        </w:rPr>
        <w:t>“</w:t>
      </w:r>
      <w:r w:rsidRPr="00C33512">
        <w:rPr>
          <w:rFonts w:ascii="Garamond" w:hAnsi="Garamond"/>
          <w:color w:val="000000"/>
        </w:rPr>
        <w:t>leggere</w:t>
      </w:r>
      <w:r>
        <w:rPr>
          <w:rFonts w:ascii="Garamond" w:hAnsi="Garamond"/>
          <w:color w:val="000000"/>
        </w:rPr>
        <w:t>”</w:t>
      </w:r>
      <w:r w:rsidRPr="00C33512">
        <w:rPr>
          <w:rFonts w:ascii="Garamond" w:hAnsi="Garamond"/>
          <w:color w:val="000000"/>
        </w:rPr>
        <w:t xml:space="preserve"> – come reti professionali o associazioni temporanee (RTP) – attraverso incentivi graduali e modulati, in base al grado di strutturazione. </w:t>
      </w:r>
      <w:r w:rsidRPr="0022277C">
        <w:rPr>
          <w:rFonts w:ascii="Garamond" w:hAnsi="Garamond"/>
          <w:bCs/>
          <w:iCs/>
        </w:rPr>
        <w:t>Questo approccio a più livelli permetterebbe di accompagnare i professionisti verso modelli organizzativi più robusti, premiando chi investe in una integrazione più profonda.</w:t>
      </w:r>
    </w:p>
    <w:p w14:paraId="2075F7F9" w14:textId="750AF819" w:rsidR="00C33512" w:rsidRPr="00C33512" w:rsidRDefault="00C33512" w:rsidP="00C33512">
      <w:pPr>
        <w:rPr>
          <w:rFonts w:ascii="Garamond" w:hAnsi="Garamond"/>
          <w:b/>
          <w:bCs/>
          <w:color w:val="000000"/>
        </w:rPr>
      </w:pPr>
      <w:r w:rsidRPr="00C33512">
        <w:rPr>
          <w:rFonts w:ascii="Garamond" w:hAnsi="Garamond"/>
          <w:b/>
          <w:bCs/>
          <w:color w:val="000000"/>
        </w:rPr>
        <w:t>Internazionalizzazione</w:t>
      </w:r>
    </w:p>
    <w:p w14:paraId="68B6CCF1" w14:textId="5FC18FF4" w:rsidR="00C33512" w:rsidRPr="00C33512" w:rsidRDefault="00C33512" w:rsidP="00C33512">
      <w:pPr>
        <w:ind w:firstLine="567"/>
        <w:jc w:val="both"/>
        <w:rPr>
          <w:rFonts w:ascii="Garamond" w:hAnsi="Garamond" w:cstheme="minorHAnsi"/>
          <w:bCs/>
          <w:i/>
          <w:iCs/>
        </w:rPr>
      </w:pPr>
      <w:r w:rsidRPr="00C33512">
        <w:rPr>
          <w:rFonts w:ascii="Garamond" w:hAnsi="Garamond"/>
          <w:color w:val="000000"/>
        </w:rPr>
        <w:t xml:space="preserve">Confprofessioni propone azioni mirate per sostenere l’apertura ai mercati internazionali, potenziando le competenze </w:t>
      </w:r>
      <w:r w:rsidRPr="00544E81">
        <w:rPr>
          <w:rFonts w:ascii="Garamond" w:hAnsi="Garamond" w:cstheme="minorHAnsi"/>
          <w:bCs/>
        </w:rPr>
        <w:t xml:space="preserve">professionali, tecnologiche, linguistiche e di </w:t>
      </w:r>
      <w:r w:rsidRPr="00544E81">
        <w:rPr>
          <w:rFonts w:ascii="Garamond" w:hAnsi="Garamond" w:cstheme="minorHAnsi"/>
          <w:bCs/>
          <w:i/>
          <w:iCs/>
        </w:rPr>
        <w:t>business strategy</w:t>
      </w:r>
      <w:r w:rsidRPr="00C33512">
        <w:rPr>
          <w:rFonts w:ascii="Garamond" w:hAnsi="Garamond"/>
          <w:color w:val="000000"/>
        </w:rPr>
        <w:t>. L’incentivo all’utilizzo di piattaforme online e strumenti tecnologici avanzati può fare la differenza nell’affermazione delle MPMI a livello globale.</w:t>
      </w:r>
    </w:p>
    <w:p w14:paraId="47E13050" w14:textId="77777777" w:rsidR="00C33512" w:rsidRPr="00C33512" w:rsidRDefault="00C33512" w:rsidP="00C33512">
      <w:pPr>
        <w:rPr>
          <w:rFonts w:ascii="Garamond" w:hAnsi="Garamond"/>
          <w:b/>
          <w:bCs/>
          <w:color w:val="000000"/>
        </w:rPr>
      </w:pPr>
      <w:r w:rsidRPr="00C33512">
        <w:rPr>
          <w:rFonts w:ascii="Garamond" w:hAnsi="Garamond"/>
          <w:b/>
          <w:bCs/>
          <w:color w:val="000000"/>
        </w:rPr>
        <w:t>Semplificazioni</w:t>
      </w:r>
    </w:p>
    <w:p w14:paraId="18B70538" w14:textId="2A53050F" w:rsidR="00C33512" w:rsidRPr="00544E81" w:rsidRDefault="00C33512" w:rsidP="00C33512">
      <w:pPr>
        <w:ind w:firstLine="567"/>
        <w:jc w:val="both"/>
        <w:rPr>
          <w:rFonts w:ascii="Garamond" w:hAnsi="Garamond" w:cstheme="minorHAnsi"/>
          <w:bCs/>
        </w:rPr>
      </w:pPr>
      <w:r w:rsidRPr="00C33512">
        <w:rPr>
          <w:rFonts w:ascii="Garamond" w:hAnsi="Garamond"/>
          <w:color w:val="000000"/>
        </w:rPr>
        <w:t xml:space="preserve">Per garantire un accesso equo e sostenibile alle opportunità di crescita, la semplificazione normativa deve tenere conto della dimensione delle imprese. L’obiettivo è rendere più fluide e omogenee le procedure, </w:t>
      </w:r>
      <w:r>
        <w:rPr>
          <w:rFonts w:ascii="Garamond" w:hAnsi="Garamond" w:cstheme="minorHAnsi"/>
          <w:bCs/>
        </w:rPr>
        <w:t xml:space="preserve">in materia di </w:t>
      </w:r>
      <w:r w:rsidRPr="00544E81">
        <w:rPr>
          <w:rFonts w:ascii="Garamond" w:hAnsi="Garamond" w:cstheme="minorHAnsi"/>
          <w:bCs/>
          <w:i/>
          <w:iCs/>
        </w:rPr>
        <w:t>privacy</w:t>
      </w:r>
      <w:r>
        <w:rPr>
          <w:rFonts w:ascii="Garamond" w:hAnsi="Garamond" w:cstheme="minorHAnsi"/>
          <w:bCs/>
        </w:rPr>
        <w:t xml:space="preserve">, per esempio, come anche di sicurezza sul lavoro, occorre una semplificazione </w:t>
      </w:r>
      <w:r w:rsidRPr="00544E81">
        <w:rPr>
          <w:rFonts w:ascii="Garamond" w:hAnsi="Garamond" w:cstheme="minorHAnsi"/>
          <w:bCs/>
        </w:rPr>
        <w:t>normativa con deroghe espresse per le realtà di piccole dimensioni. Inoltre, le regole per le comunicazioni alle Camere di Commercio andrebbero standardizzate a livello nazionale</w:t>
      </w:r>
      <w:r>
        <w:rPr>
          <w:rFonts w:ascii="Garamond" w:hAnsi="Garamond" w:cstheme="minorHAnsi"/>
          <w:bCs/>
        </w:rPr>
        <w:t>,</w:t>
      </w:r>
      <w:r w:rsidRPr="00544E81">
        <w:rPr>
          <w:rFonts w:ascii="Garamond" w:hAnsi="Garamond" w:cstheme="minorHAnsi"/>
          <w:bCs/>
        </w:rPr>
        <w:t xml:space="preserve"> anche prevedendo sanzioni per le Camere che adottano prassi e comportamenti difformi.</w:t>
      </w:r>
    </w:p>
    <w:p w14:paraId="22A54430" w14:textId="77777777" w:rsidR="00C33512" w:rsidRPr="00C33512" w:rsidRDefault="00C33512" w:rsidP="00C33512">
      <w:pPr>
        <w:rPr>
          <w:rFonts w:ascii="Garamond" w:hAnsi="Garamond"/>
          <w:b/>
          <w:bCs/>
          <w:color w:val="000000"/>
        </w:rPr>
      </w:pPr>
      <w:r w:rsidRPr="00C33512">
        <w:rPr>
          <w:rFonts w:ascii="Garamond" w:hAnsi="Garamond"/>
          <w:b/>
          <w:bCs/>
          <w:color w:val="000000"/>
        </w:rPr>
        <w:t>Ricambio generazionale</w:t>
      </w:r>
    </w:p>
    <w:p w14:paraId="3935AAD2" w14:textId="32F398A5" w:rsidR="00C33512" w:rsidRPr="00C33512" w:rsidRDefault="00C33512" w:rsidP="00C33512">
      <w:pPr>
        <w:jc w:val="both"/>
        <w:rPr>
          <w:rFonts w:ascii="Garamond" w:hAnsi="Garamond"/>
        </w:rPr>
      </w:pPr>
      <w:r w:rsidRPr="00C33512">
        <w:rPr>
          <w:rFonts w:ascii="Garamond" w:hAnsi="Garamond"/>
          <w:color w:val="000000"/>
        </w:rPr>
        <w:lastRenderedPageBreak/>
        <w:t xml:space="preserve">Infine, Confprofessioni segnala l’importanza di favorire il ricambio generazionale nelle </w:t>
      </w:r>
      <w:proofErr w:type="spellStart"/>
      <w:r w:rsidRPr="00C33512">
        <w:rPr>
          <w:rFonts w:ascii="Garamond" w:hAnsi="Garamond"/>
          <w:color w:val="000000"/>
        </w:rPr>
        <w:t>microrealtà</w:t>
      </w:r>
      <w:proofErr w:type="spellEnd"/>
      <w:r w:rsidRPr="00C33512">
        <w:rPr>
          <w:rFonts w:ascii="Garamond" w:hAnsi="Garamond"/>
          <w:color w:val="000000"/>
        </w:rPr>
        <w:t xml:space="preserve"> professionali</w:t>
      </w:r>
      <w:r>
        <w:rPr>
          <w:rFonts w:ascii="Garamond" w:hAnsi="Garamond"/>
          <w:color w:val="000000"/>
        </w:rPr>
        <w:t xml:space="preserve"> attraverso l’individuazione di </w:t>
      </w:r>
      <w:r>
        <w:rPr>
          <w:rFonts w:ascii="Garamond" w:hAnsi="Garamond"/>
        </w:rPr>
        <w:t>risorse e il</w:t>
      </w:r>
      <w:r w:rsidRPr="00CC7F13">
        <w:rPr>
          <w:rFonts w:ascii="Garamond" w:hAnsi="Garamond"/>
        </w:rPr>
        <w:t xml:space="preserve"> coinvolgimento dei fondi di solidarietà bilaterali per realizzare progetti formativi a favore dei giovani neoassunti. Il trasferimento delle conoscenze e del </w:t>
      </w:r>
      <w:r w:rsidRPr="00CC7F13">
        <w:rPr>
          <w:rFonts w:ascii="Garamond" w:hAnsi="Garamond"/>
          <w:i/>
          <w:iCs/>
        </w:rPr>
        <w:t>know-how</w:t>
      </w:r>
      <w:r w:rsidRPr="00CC7F13">
        <w:rPr>
          <w:rFonts w:ascii="Garamond" w:hAnsi="Garamond"/>
        </w:rPr>
        <w:t xml:space="preserve"> rappresenta, infatti, uno degli aspetti più complessi dei processi di ricambio generazionale.</w:t>
      </w:r>
      <w:r w:rsidRPr="00A72C1D">
        <w:rPr>
          <w:rFonts w:ascii="Garamond" w:hAnsi="Garamond"/>
        </w:rPr>
        <w:t xml:space="preserve"> </w:t>
      </w:r>
    </w:p>
    <w:p w14:paraId="5AE71BC5" w14:textId="77777777" w:rsidR="00C33512" w:rsidRPr="00C33512" w:rsidRDefault="00C33512" w:rsidP="00C33512">
      <w:pPr>
        <w:rPr>
          <w:rFonts w:ascii="Garamond" w:hAnsi="Garamond"/>
          <w:color w:val="000000"/>
        </w:rPr>
      </w:pPr>
      <w:r w:rsidRPr="00C33512">
        <w:rPr>
          <w:rFonts w:ascii="Garamond" w:hAnsi="Garamond"/>
          <w:color w:val="000000"/>
        </w:rPr>
        <w:t>«Con questo documento, mettiamo a disposizione delle istituzioni una visione costruttiva e orientata al futuro – ha dichiarato il presidente di Confprofessioni, Marco Natali –. Le microimprese e i liberi professionisti sono una colonna portante del nostro sistema produttivo: rafforzarli attraverso aggregazione, formazione e semplificazione significa investire nell’economia reale del Paese.»</w:t>
      </w:r>
    </w:p>
    <w:p w14:paraId="50ECB3FD" w14:textId="6F213A77" w:rsidR="00C33512" w:rsidRDefault="00C33512"/>
    <w:sectPr w:rsidR="00C3351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28DEA" w14:textId="77777777" w:rsidR="0012565C" w:rsidRDefault="0012565C" w:rsidP="00C33512">
      <w:pPr>
        <w:spacing w:after="0" w:line="240" w:lineRule="auto"/>
      </w:pPr>
      <w:r>
        <w:separator/>
      </w:r>
    </w:p>
  </w:endnote>
  <w:endnote w:type="continuationSeparator" w:id="0">
    <w:p w14:paraId="68116054" w14:textId="77777777" w:rsidR="0012565C" w:rsidRDefault="0012565C" w:rsidP="00C33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6278B" w14:textId="77777777" w:rsidR="0012565C" w:rsidRDefault="0012565C" w:rsidP="00C33512">
      <w:pPr>
        <w:spacing w:after="0" w:line="240" w:lineRule="auto"/>
      </w:pPr>
      <w:r>
        <w:separator/>
      </w:r>
    </w:p>
  </w:footnote>
  <w:footnote w:type="continuationSeparator" w:id="0">
    <w:p w14:paraId="4D3A31CD" w14:textId="77777777" w:rsidR="0012565C" w:rsidRDefault="0012565C" w:rsidP="00C33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9431" w14:textId="0D6160E1" w:rsidR="00C33512" w:rsidRDefault="00C33512">
    <w:pPr>
      <w:pStyle w:val="Intestazione"/>
    </w:pPr>
    <w:r w:rsidRPr="009D2D38">
      <w:rPr>
        <w:rFonts w:ascii="Garamond" w:eastAsia="Calibri" w:hAnsi="Garamond" w:cs="Times New Roman"/>
        <w:noProof/>
      </w:rPr>
      <w:drawing>
        <wp:anchor distT="0" distB="0" distL="114300" distR="114300" simplePos="0" relativeHeight="251659264" behindDoc="0" locked="0" layoutInCell="1" allowOverlap="1" wp14:anchorId="6BCE49F0" wp14:editId="04A7ED6E">
          <wp:simplePos x="0" y="0"/>
          <wp:positionH relativeFrom="column">
            <wp:posOffset>1579418</wp:posOffset>
          </wp:positionH>
          <wp:positionV relativeFrom="paragraph">
            <wp:posOffset>45605</wp:posOffset>
          </wp:positionV>
          <wp:extent cx="2477135" cy="667385"/>
          <wp:effectExtent l="0" t="0" r="0" b="5715"/>
          <wp:wrapTopAndBottom/>
          <wp:docPr id="127381047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fficeArt objec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135" cy="6673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12"/>
    <w:rsid w:val="0012565C"/>
    <w:rsid w:val="003D3287"/>
    <w:rsid w:val="003E5ADB"/>
    <w:rsid w:val="004E78E4"/>
    <w:rsid w:val="007921C4"/>
    <w:rsid w:val="00A316FC"/>
    <w:rsid w:val="00AB1E25"/>
    <w:rsid w:val="00BD2092"/>
    <w:rsid w:val="00C33512"/>
    <w:rsid w:val="00C87A53"/>
    <w:rsid w:val="00F5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133395"/>
  <w15:chartTrackingRefBased/>
  <w15:docId w15:val="{CC661209-0EC8-254D-989C-A8EA1095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3512"/>
    <w:pPr>
      <w:spacing w:after="200" w:line="276" w:lineRule="auto"/>
    </w:pPr>
    <w:rPr>
      <w:rFonts w:eastAsiaTheme="minorEastAsia"/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5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35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351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351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351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351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351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351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351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3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3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351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351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35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35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35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35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3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33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351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3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3512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35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3512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3351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3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351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351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3351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512"/>
  </w:style>
  <w:style w:type="paragraph" w:styleId="Pidipagina">
    <w:name w:val="footer"/>
    <w:basedOn w:val="Normale"/>
    <w:link w:val="PidipaginaCarattere"/>
    <w:uiPriority w:val="99"/>
    <w:unhideWhenUsed/>
    <w:rsid w:val="00C3351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 Conf 01</dc:creator>
  <cp:keywords/>
  <dc:description/>
  <cp:lastModifiedBy>Fondazione Conf 01</cp:lastModifiedBy>
  <cp:revision>3</cp:revision>
  <dcterms:created xsi:type="dcterms:W3CDTF">2025-07-28T07:26:00Z</dcterms:created>
  <dcterms:modified xsi:type="dcterms:W3CDTF">2025-07-28T08:01:00Z</dcterms:modified>
</cp:coreProperties>
</file>