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23C91" w:rsidTr="00F80931">
        <w:trPr>
          <w:jc w:val="center"/>
        </w:trPr>
        <w:tc>
          <w:tcPr>
            <w:tcW w:w="0" w:type="auto"/>
            <w:hideMark/>
          </w:tcPr>
          <w:p w:rsidR="00A23C91" w:rsidRPr="000D2065" w:rsidRDefault="00A23C91" w:rsidP="00A23C91">
            <w:pPr>
              <w:spacing w:before="150" w:after="150" w:line="360" w:lineRule="auto"/>
              <w:jc w:val="center"/>
              <w:rPr>
                <w:rFonts w:ascii="Helvetica" w:hAnsi="Helvetica" w:cs="Helvetica"/>
                <w:color w:val="202020"/>
                <w:sz w:val="24"/>
                <w:szCs w:val="24"/>
              </w:rPr>
            </w:pPr>
            <w:bookmarkStart w:id="0" w:name="_GoBack" w:colFirst="1" w:colLast="1"/>
            <w:r w:rsidRPr="000D2065">
              <w:rPr>
                <w:rStyle w:val="Enfasigrassetto"/>
                <w:rFonts w:ascii="Helvetica" w:hAnsi="Helvetica" w:cs="Helvetica"/>
                <w:color w:val="202020"/>
                <w:sz w:val="18"/>
                <w:szCs w:val="18"/>
                <w:u w:val="single"/>
              </w:rPr>
              <w:t>COMUNICATO STAMPA</w:t>
            </w:r>
          </w:p>
        </w:tc>
      </w:tr>
      <w:tr w:rsidR="00A23C91" w:rsidRPr="00A23C91" w:rsidTr="00D258CC">
        <w:trPr>
          <w:jc w:val="center"/>
        </w:trPr>
        <w:tc>
          <w:tcPr>
            <w:tcW w:w="0" w:type="auto"/>
            <w:hideMark/>
          </w:tcPr>
          <w:p w:rsidR="00A23C91" w:rsidRPr="00A23C91" w:rsidRDefault="00A23C91" w:rsidP="00A23C91">
            <w:pPr>
              <w:spacing w:before="150" w:after="150" w:line="360" w:lineRule="auto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942BC3">
              <w:rPr>
                <w:rFonts w:ascii="Times New Roman" w:hAnsi="Times New Roman" w:cs="Times New Roman"/>
                <w:color w:val="202020"/>
                <w:sz w:val="32"/>
                <w:szCs w:val="32"/>
              </w:rPr>
              <w:br/>
            </w:r>
            <w:r w:rsidRPr="00942BC3">
              <w:rPr>
                <w:rStyle w:val="Enfasigrassetto"/>
                <w:rFonts w:ascii="Times New Roman" w:hAnsi="Times New Roman" w:cs="Times New Roman"/>
                <w:color w:val="202020"/>
                <w:sz w:val="32"/>
                <w:szCs w:val="32"/>
              </w:rPr>
              <w:t>Salario minimo, Confprofessioni: fondamentale valorizzare i traguardi raggiunti dalla contrattazione collettiva maggiormente rappresentativa</w:t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r w:rsidRPr="00A23C91">
              <w:rPr>
                <w:rStyle w:val="Enfasigrassetto"/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Oggi l’audizione presso la Commissione Lavoro del Senato. La delegata al lavoro di Confprofessioni, Paola </w:t>
            </w:r>
            <w:proofErr w:type="spellStart"/>
            <w:r w:rsidRPr="00A23C91">
              <w:rPr>
                <w:rStyle w:val="Enfasigrassetto"/>
                <w:rFonts w:ascii="Times New Roman" w:hAnsi="Times New Roman" w:cs="Times New Roman"/>
                <w:color w:val="202020"/>
                <w:sz w:val="24"/>
                <w:szCs w:val="24"/>
              </w:rPr>
              <w:t>Cogotti</w:t>
            </w:r>
            <w:proofErr w:type="spellEnd"/>
            <w:r w:rsidRPr="00A23C91">
              <w:rPr>
                <w:rStyle w:val="Enfasigrassetto"/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: </w:t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«</w:t>
            </w:r>
            <w:r w:rsidRPr="00A23C91">
              <w:rPr>
                <w:rStyle w:val="Enfasigrassetto"/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I contratti di secondo livello rappresentano lo strumento più adatto per adeguare le retribuzioni al costo della vita esistente nelle diverse realtà territoriali. </w:t>
            </w:r>
            <w:r w:rsidRPr="00A23C91">
              <w:rPr>
                <w:rStyle w:val="Enfasicorsivo"/>
                <w:rFonts w:ascii="Times New Roman" w:hAnsi="Times New Roman" w:cs="Times New Roman"/>
                <w:b/>
                <w:bCs/>
                <w:color w:val="202020"/>
                <w:sz w:val="24"/>
                <w:szCs w:val="24"/>
              </w:rPr>
              <w:t>Welfare</w:t>
            </w:r>
            <w:r w:rsidRPr="00A23C91">
              <w:rPr>
                <w:rStyle w:val="Enfasigrassetto"/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 e bilateralità un diritto per tutti i lavoratori</w:t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»</w:t>
            </w:r>
          </w:p>
        </w:tc>
      </w:tr>
      <w:tr w:rsidR="00A23C91" w:rsidRPr="00A23C91" w:rsidTr="00BB65F7">
        <w:trPr>
          <w:jc w:val="center"/>
        </w:trPr>
        <w:tc>
          <w:tcPr>
            <w:tcW w:w="0" w:type="auto"/>
            <w:hideMark/>
          </w:tcPr>
          <w:p w:rsidR="00A23C91" w:rsidRPr="00A23C91" w:rsidRDefault="00A23C91" w:rsidP="00A23C91">
            <w:pPr>
              <w:spacing w:before="150" w:after="150" w:line="360" w:lineRule="auto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r w:rsidRPr="00A23C91">
              <w:rPr>
                <w:rStyle w:val="Enfasicorsivo"/>
                <w:rFonts w:ascii="Times New Roman" w:hAnsi="Times New Roman" w:cs="Times New Roman"/>
                <w:color w:val="202020"/>
                <w:sz w:val="24"/>
                <w:szCs w:val="24"/>
              </w:rPr>
              <w:t>Roma, 13 maggio 2025. </w:t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«L’introduzione di un salario predeterminato in materia fissa per legge non risolverebbe le problematiche legate alle dinamiche reddituali e al lavoro povero». È quanto afferma la delegata al lavoro della giunta di Confprofessioni, Paola </w:t>
            </w:r>
            <w:proofErr w:type="spellStart"/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Cogotti</w:t>
            </w:r>
            <w:proofErr w:type="spellEnd"/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, in sede di audizione presso la Commissione lavoro del Senato sui DDL in materia di salario minimo (S. 957 e abbinati).</w:t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  <w:t> </w:t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  <w:t xml:space="preserve">«Prendere a modello i parametri economici dei contratti collettivi effettivamente rappresentativi, consente, al contrario, la definizione dei salari nel modo più idoneo in relazione ai singoli settori produttivi. Riteniamo, a tal fine, importante valorizzare i traguardi raggiunti dalla contrattazione collettiva maggiormente rappresentativa», continua Paola </w:t>
            </w:r>
            <w:proofErr w:type="spellStart"/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Cogotti</w:t>
            </w:r>
            <w:proofErr w:type="spellEnd"/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. «Il potenziamento dei contratti collettivi realmente rappresentativi è la strada da perseguire».</w:t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  <w:t> </w:t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  <w:t xml:space="preserve">Davanti alla 10a Commissione del Senato, la Confederazione è dunque intervenuta anche sul tema della contrattazione decentrata. «È sicuramente apprezzabile l’impegno del legislatore a predisporre nuove misure volte a stimolare la diffusione della contrattazione decentrata», spiega </w:t>
            </w:r>
            <w:proofErr w:type="spellStart"/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Cogotti</w:t>
            </w:r>
            <w:proofErr w:type="spellEnd"/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. «I contratti collettivi di secondo livello rappresentano, infatti, lo strumento più adatto per adeguare e parametrare le retribuzioni al costo della vita esistente nelle diverse realtà territoriali, oltre che per disciplinare le iniziative a sostegno della produttività e del </w:t>
            </w:r>
            <w:r w:rsidRPr="00A23C91">
              <w:rPr>
                <w:rStyle w:val="Enfasicorsivo"/>
                <w:rFonts w:ascii="Times New Roman" w:hAnsi="Times New Roman" w:cs="Times New Roman"/>
                <w:color w:val="202020"/>
                <w:sz w:val="24"/>
                <w:szCs w:val="24"/>
              </w:rPr>
              <w:lastRenderedPageBreak/>
              <w:t xml:space="preserve">welfare </w:t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nei singoli contesti produttivi».</w:t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  <w:t> </w:t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  <w:t xml:space="preserve">«Confprofessioni - conclude </w:t>
            </w:r>
            <w:proofErr w:type="spellStart"/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Cogotti</w:t>
            </w:r>
            <w:proofErr w:type="spellEnd"/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 - ritiene che il </w:t>
            </w:r>
            <w:r w:rsidRPr="00A23C91">
              <w:rPr>
                <w:rStyle w:val="Enfasicorsivo"/>
                <w:rFonts w:ascii="Times New Roman" w:hAnsi="Times New Roman" w:cs="Times New Roman"/>
                <w:color w:val="202020"/>
                <w:sz w:val="24"/>
                <w:szCs w:val="24"/>
              </w:rPr>
              <w:t>welfare</w:t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 e la bilateralità, nelle loro diverse declinazioni, debbano rappresentare un diritto fondamentale per tutti i lavoratori. L’adesione e il versamento della contribuzione agli enti bilaterali, come quelli del settore studi professionali, consentono al lavoratore di beneficiare di misure che possono portare ad ottenere prestazioni, rimborsi e somme considerevoli».</w:t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r w:rsidRPr="00A23C9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br/>
            </w:r>
            <w:r w:rsidRPr="00A23C91">
              <w:rPr>
                <w:rStyle w:val="Enfasigrassetto"/>
                <w:rFonts w:ascii="Times New Roman" w:hAnsi="Times New Roman" w:cs="Times New Roman"/>
                <w:color w:val="202020"/>
                <w:sz w:val="20"/>
                <w:szCs w:val="20"/>
              </w:rPr>
              <w:t>Ufficio stampa Confprofessioni</w:t>
            </w:r>
            <w:r w:rsidRPr="00A23C91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br/>
              <w:t xml:space="preserve">Mail: </w:t>
            </w:r>
            <w:hyperlink r:id="rId7" w:history="1">
              <w:r w:rsidRPr="00A23C91">
                <w:rPr>
                  <w:rStyle w:val="Collegamentoipertestuale"/>
                  <w:rFonts w:ascii="Times New Roman" w:hAnsi="Times New Roman" w:cs="Times New Roman"/>
                  <w:color w:val="007C89"/>
                  <w:sz w:val="20"/>
                  <w:szCs w:val="20"/>
                </w:rPr>
                <w:t>ufficiostampa@confprofessioni.eu</w:t>
              </w:r>
            </w:hyperlink>
            <w:r w:rsidRPr="00A23C91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br/>
              <w:t>Tel. 06 54220278</w:t>
            </w:r>
          </w:p>
        </w:tc>
      </w:tr>
      <w:bookmarkEnd w:id="0"/>
    </w:tbl>
    <w:p w:rsidR="00AF293A" w:rsidRPr="00A23C91" w:rsidRDefault="00AF293A" w:rsidP="000E53BD">
      <w:pPr>
        <w:rPr>
          <w:rFonts w:ascii="Times New Roman" w:hAnsi="Times New Roman" w:cs="Times New Roman"/>
          <w:sz w:val="24"/>
          <w:szCs w:val="24"/>
        </w:rPr>
      </w:pPr>
    </w:p>
    <w:sectPr w:rsidR="00AF293A" w:rsidRPr="00A23C9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582" w:rsidRDefault="00025582" w:rsidP="00F80931">
      <w:r>
        <w:separator/>
      </w:r>
    </w:p>
  </w:endnote>
  <w:endnote w:type="continuationSeparator" w:id="0">
    <w:p w:rsidR="00025582" w:rsidRDefault="00025582" w:rsidP="00F8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582" w:rsidRDefault="00025582" w:rsidP="00F80931">
      <w:r>
        <w:separator/>
      </w:r>
    </w:p>
  </w:footnote>
  <w:footnote w:type="continuationSeparator" w:id="0">
    <w:p w:rsidR="00025582" w:rsidRDefault="00025582" w:rsidP="00F8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E74" w:rsidRDefault="00F40E74" w:rsidP="00A23C91">
    <w:pPr>
      <w:pStyle w:val="Intestazione"/>
      <w:jc w:val="center"/>
    </w:pPr>
    <w:r>
      <w:rPr>
        <w:noProof/>
      </w:rPr>
      <w:drawing>
        <wp:inline distT="0" distB="0" distL="0" distR="0">
          <wp:extent cx="2613660" cy="773550"/>
          <wp:effectExtent l="0" t="0" r="0" b="762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con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272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F3365"/>
    <w:multiLevelType w:val="multilevel"/>
    <w:tmpl w:val="CF60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31"/>
    <w:rsid w:val="00025582"/>
    <w:rsid w:val="000E53BD"/>
    <w:rsid w:val="00221981"/>
    <w:rsid w:val="00597FDD"/>
    <w:rsid w:val="007E7E63"/>
    <w:rsid w:val="00942BC3"/>
    <w:rsid w:val="009E4C47"/>
    <w:rsid w:val="00A23C91"/>
    <w:rsid w:val="00AF293A"/>
    <w:rsid w:val="00B80660"/>
    <w:rsid w:val="00BB65F7"/>
    <w:rsid w:val="00C53710"/>
    <w:rsid w:val="00D258CC"/>
    <w:rsid w:val="00F40E74"/>
    <w:rsid w:val="00F8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704D9"/>
  <w15:chartTrackingRefBased/>
  <w15:docId w15:val="{311546DF-75D5-4540-9EB6-C8CB1E68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0931"/>
    <w:pPr>
      <w:spacing w:after="0" w:line="240" w:lineRule="auto"/>
    </w:pPr>
    <w:rPr>
      <w:rFonts w:ascii="Calibri" w:hAnsi="Calibri" w:cs="Calibri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C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D258CC"/>
    <w:pPr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093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8093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8093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931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931"/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C53710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53710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58CC"/>
    <w:rPr>
      <w:rFonts w:ascii="Calibri" w:hAnsi="Calibri" w:cs="Calibri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C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stampa@confprofession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 Milano 1</dc:creator>
  <cp:keywords/>
  <dc:description/>
  <cp:lastModifiedBy>Conf Milano 1</cp:lastModifiedBy>
  <cp:revision>2</cp:revision>
  <dcterms:created xsi:type="dcterms:W3CDTF">2025-08-22T11:53:00Z</dcterms:created>
  <dcterms:modified xsi:type="dcterms:W3CDTF">2025-08-22T11:53:00Z</dcterms:modified>
</cp:coreProperties>
</file>