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A282C" w:rsidTr="000A282C">
        <w:trPr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A282C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A282C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282C" w:rsidRDefault="000A282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A282C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A282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A282C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A282C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0A282C" w:rsidRDefault="000A282C">
                                          <w:pPr>
                                            <w:spacing w:before="150" w:after="150" w:line="360" w:lineRule="auto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  <w:u w:val="single"/>
                                            </w:rPr>
                                            <w:t>COMUNICATO STAMPA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bookmarkStart w:id="0" w:name="_GoBack"/>
                                          <w:r>
                                            <w:rPr>
                                              <w:rStyle w:val="Enfasigrassetto"/>
                                              <w:color w:val="202020"/>
                                              <w:sz w:val="27"/>
                                              <w:szCs w:val="27"/>
                                            </w:rPr>
                                            <w:t>Nasce a Roma il Dipartimento delle Libere Professioni: una casa comune per il pensiero professionale del futuro</w:t>
                                          </w:r>
                                          <w:bookmarkEnd w:id="0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</w:p>
                                        <w:p w:rsidR="000A282C" w:rsidRDefault="000A282C">
                                          <w:pPr>
                                            <w:spacing w:before="150" w:after="150" w:line="360" w:lineRule="auto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Un’iniziativa culturale e scientifica promossa da Associazione Nazionale Forense, Confprofessioni e Pontificia Università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nfasigrassetto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Antonianum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</w:p>
                                        <w:p w:rsidR="000A282C" w:rsidRDefault="000A282C">
                                          <w:pPr>
                                            <w:spacing w:before="150" w:after="150" w:line="360" w:lineRule="auto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  <w:p w:rsidR="000A282C" w:rsidRDefault="000A282C">
                                          <w:pPr>
                                            <w:spacing w:before="150" w:after="150" w:line="36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Style w:val="Enfasicorsivo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Roma, 24 luglio 2025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– Presso lo Spazio Europa, sede dell’Ufficio del Parlamento Europeo in Italia, è stato ufficialmente presentato oggi il 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Dipartimento delle Libere Professioni (DLP)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, un’iniziativa di alto profilo culturale e scientifico nata dalla collaborazione tra 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Associazione Nazionale Forense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Confprofessioni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e 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Pontificia Università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Antonianum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 xml:space="preserve">Il Dipartimento si propone come 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una casa comune del sapere professionale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, punto di incontro e contaminazione tra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saperi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, esperienze e ambiti disciplinari diversi, con l’ambizione di restituire alle libere professioni il ruolo di protagoniste nel processo di riflessione e trasformazione della società contemporanea. Una sfida culturale, prima ancora che accademica, che nasce da un’urgenza: dare forma a una nuova inquietudine scientifica delle professioni intellettuali, in grado di accompagnare la transizione verso un futuro più consapevole, critico e responsabile.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 xml:space="preserve">A dare l’impulso determinante alla nascita del DLP è stato 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Giampaolo Di Marco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Segretario Generale dell’Associazione Nazionale Forense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, il quale ha sottolineato come l’obiettivo del Dipartimento sia quello di “</w:t>
                                          </w:r>
                                          <w:r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connettere le professioni intellettuali con le ansie e le complessità del nostro tempo, affinché diventino motore di crescita e coscienza pubblica. Il lavoro intellettuale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non è estetica</w:t>
                                          </w:r>
                                          <w:proofErr w:type="gramEnd"/>
                                          <w:r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del pensiero, ma fatica quotidiana del pensare, del comprendere, del partecipare. Il Dipartimento nasce per essere un luogo in cui la contaminazione dei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saperi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non sia episodica, ma metodo costante, nella consapevolezza che il sapere è risorsa collettiva e bene comune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”. Di Marco ha inoltre evidenziato, richiamando le riflessioni dello storico Jacques 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Goff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, l’importanza di non tradire quella funzione di vigilanza critica che le professioni hanno esercitato nel tempo, evitando il rischio di scivolare, come ammoniva lo stesso 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Goff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, in una sterile autoreferenzialità del sapere o nella costruzione di immagini di sé avulse dalla realtà che esse stesse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>hanno contribuito a costruire. “</w:t>
                                          </w:r>
                                          <w:r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È proprio in questa tensione generativa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– ha concluso –</w:t>
                                          </w:r>
                                          <w:r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che il DLP trova la sua ragion d’essere: trasformare il logos professionale in azione concreta e pubblica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”.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Marco Natali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Presidente di Confprofessioni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, ha accolto con entusiasmo il progetto, riconoscendovi “</w:t>
                                          </w:r>
                                          <w:r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un nuovo paradigma per il futuro delle libere professioni: non più meri interpreti tecnici, ma interpreti responsabili di un tempo storico segnato da profondi mutamenti. In un’epoca di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saperi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frammentati e facili scorciatoie digitali, il DLP può rappresentare il luogo in cui il sapere professionale si rigenera nel confronto, nella ricerca e nella responsabilità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”.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Augustìn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Hernàndez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Vidales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Magnifico Rettore della Pontificia Università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Antonianum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, ha sottolineato nel suo testo che la rilevanza culturale del Dipartimento: “si radica in una triplice istanza: la responsabilità sociale delle professioni, la tutela dei diritti del lavoratore autonomo nel mercato europeo, e la promozione di una cultura giuridica e politica autenticamente relazionale, fondata sulla centralità della persona. Nel cuore della transizione in atto si pone la sfida dell’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interdipendenza.Le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professioni intellettuali non possono più configurarsi come arcipelaghi autoreferenziali, ma devono diventare snodi vitali di reti generative, capaci di coniugare eccellenza tecnica e giustizia sociale, autonomia progettuale e corresponsabilità pubblica”.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Paolo Cancelli, Direttore Ufficio Sviluppo della Pontificia Università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Antonianum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e Presidente del CUIRIF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ha evidenziato che “In un’epoca segnata da crisi complesse e interdipendenti, emerge con urgenza la necessità di “fare rete” tra le istituzioni che, in ogni parte del mondo, coltivano il sapere come servizio alla dignità umana. È tempo di attivare sinergie decisive tra università e territori, tra culture e religioni diverse, affinché si generino dipartimenti di ricerca capaci di leggere con intelligenza e responsabilità i problemi epocali dell’umanità e di proporre concrete piste di soluzione. Questa visione è il cuore della nostra alleanza istituzionale tra Pontificia Università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Antonianum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, Associazione Nazionale Forense e Confprofessioni: una rete di sapere che diventa rete di speranza”.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</w:p>
                                        <w:p w:rsidR="000A282C" w:rsidRDefault="000A282C">
                                          <w:pPr>
                                            <w:spacing w:before="150" w:after="150" w:line="360" w:lineRule="auto"/>
                                            <w:jc w:val="both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 xml:space="preserve">Il 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Dipartimento delle Libere Professioni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si articolerà in 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tre macro-aree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:</w:t>
                                          </w:r>
                                        </w:p>
                                        <w:p w:rsidR="000A282C" w:rsidRDefault="000A282C" w:rsidP="00F3431A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360" w:lineRule="auto"/>
                                            <w:jc w:val="both"/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Style w:val="Enfasigrassetto"/>
                                              <w:rFonts w:eastAsia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area giuridico-economico-sociale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, per il dialogo tra diritto, economia e dinamiche sociali;</w:t>
                                          </w:r>
                                        </w:p>
                                        <w:p w:rsidR="000A282C" w:rsidRDefault="000A282C" w:rsidP="00F3431A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360" w:lineRule="auto"/>
                                            <w:jc w:val="both"/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Style w:val="Enfasigrassetto"/>
                                              <w:rFonts w:eastAsia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area sanitario-tecnica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, per affrontare le sfide della salute e dell’innovazione tecnologica;</w:t>
                                          </w:r>
                                        </w:p>
                                        <w:p w:rsidR="000A282C" w:rsidRDefault="000A282C" w:rsidP="00F3431A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360" w:lineRule="auto"/>
                                            <w:jc w:val="both"/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Style w:val="Enfasigrassetto"/>
                                              <w:rFonts w:eastAsia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area delle nuove professioni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, per accogliere e guidare l’evoluzione delle competenze legate al digitale, alla sostenibilità ambientale, alla comunicazione e alla sicurezza informatica.</w:t>
                                          </w:r>
                                        </w:p>
                                        <w:p w:rsidR="000A282C" w:rsidRDefault="000A282C">
                                          <w:pPr>
                                            <w:spacing w:before="150" w:after="150" w:line="360" w:lineRule="auto"/>
                                            <w:jc w:val="both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>Il DLP si configura, così, come una piattaforma permanente di formazione, aggiornamento, ricerca e riflessione condivisa, capace di accompagnare studenti, professionisti e studiosi in un percorso che unisca sapere teorico e responsabilità pratica. Uno spazio di pensiero e di azione, che si propone di trasformare l’inquietudine del presente in progettazione del futuro.</w:t>
                                          </w:r>
                                        </w:p>
                                        <w:p w:rsidR="000A282C" w:rsidRDefault="000A282C">
                                          <w:pPr>
                                            <w:spacing w:before="150" w:after="150" w:line="360" w:lineRule="auto"/>
                                            <w:jc w:val="both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  <w:p w:rsidR="000A282C" w:rsidRDefault="000A282C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Style w:val="Enfasicorsivo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202020"/>
                                              <w:sz w:val="15"/>
                                              <w:szCs w:val="15"/>
                                            </w:rPr>
                                            <w:t>Confprofessioni Ufficio stampa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15"/>
                                              <w:szCs w:val="15"/>
                                            </w:rPr>
                                            <w:br/>
                                          </w:r>
                                          <w:hyperlink r:id="rId7" w:history="1">
                                            <w:r>
                                              <w:rPr>
                                                <w:rStyle w:val="Collegamentoipertestuale"/>
                                                <w:rFonts w:ascii="Helvetica" w:hAnsi="Helvetica" w:cs="Helvetica"/>
                                                <w:color w:val="007C89"/>
                                                <w:sz w:val="15"/>
                                                <w:szCs w:val="15"/>
                                              </w:rPr>
                                              <w:t>ufficiostampa@confprofessioni.eu</w:t>
                                            </w:r>
                                          </w:hyperlink>
                                          <w:r>
                                            <w:rPr>
                                              <w:rStyle w:val="Enfasigrassetto"/>
                                              <w:rFonts w:ascii="Helvetica" w:hAnsi="Helvetica" w:cs="Helvetica"/>
                                              <w:color w:val="202020"/>
                                              <w:sz w:val="15"/>
                                              <w:szCs w:val="15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15"/>
                                              <w:szCs w:val="15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Helvetica" w:hAnsi="Helvetica" w:cs="Helvetica"/>
                                              <w:color w:val="202020"/>
                                              <w:sz w:val="15"/>
                                              <w:szCs w:val="15"/>
                                            </w:rPr>
                                            <w:t>06.54220278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A282C" w:rsidRDefault="000A282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A282C" w:rsidRDefault="000A282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A282C" w:rsidRDefault="000A282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A282C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282C" w:rsidRDefault="000A282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A282C" w:rsidRDefault="000A282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A282C" w:rsidRDefault="000A2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F293A" w:rsidRDefault="00AF293A"/>
    <w:sectPr w:rsidR="00AF293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BE9" w:rsidRDefault="00581BE9" w:rsidP="000A282C">
      <w:r>
        <w:separator/>
      </w:r>
    </w:p>
  </w:endnote>
  <w:endnote w:type="continuationSeparator" w:id="0">
    <w:p w:rsidR="00581BE9" w:rsidRDefault="00581BE9" w:rsidP="000A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BE9" w:rsidRDefault="00581BE9" w:rsidP="000A282C">
      <w:r>
        <w:separator/>
      </w:r>
    </w:p>
  </w:footnote>
  <w:footnote w:type="continuationSeparator" w:id="0">
    <w:p w:rsidR="00581BE9" w:rsidRDefault="00581BE9" w:rsidP="000A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82C" w:rsidRDefault="000A282C" w:rsidP="000A282C">
    <w:pPr>
      <w:pStyle w:val="Intestazione"/>
      <w:jc w:val="center"/>
    </w:pPr>
    <w:r>
      <w:rPr>
        <w:rFonts w:eastAsia="Times New Roman"/>
        <w:noProof/>
      </w:rPr>
      <w:drawing>
        <wp:inline distT="0" distB="0" distL="0" distR="0" wp14:anchorId="1ECE6169" wp14:editId="6E7BB277">
          <wp:extent cx="4770120" cy="1066800"/>
          <wp:effectExtent l="0" t="0" r="0" b="0"/>
          <wp:docPr id="1" name="Immagine 1" descr="https://mcusercontent.com/af0169536717b4a8575cf8320/images/2a5cd592-7784-c5e2-da41-e9f05427231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cusercontent.com/af0169536717b4a8575cf8320/images/2a5cd592-7784-c5e2-da41-e9f05427231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73678"/>
    <w:multiLevelType w:val="multilevel"/>
    <w:tmpl w:val="93E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2C"/>
    <w:rsid w:val="000A282C"/>
    <w:rsid w:val="00581BE9"/>
    <w:rsid w:val="00A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E5A"/>
  <w15:chartTrackingRefBased/>
  <w15:docId w15:val="{427A8094-1C20-43A2-9990-22213CAC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282C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A282C"/>
    <w:rPr>
      <w:b/>
      <w:bCs/>
    </w:rPr>
  </w:style>
  <w:style w:type="character" w:styleId="Enfasicorsivo">
    <w:name w:val="Emphasis"/>
    <w:basedOn w:val="Carpredefinitoparagrafo"/>
    <w:uiPriority w:val="20"/>
    <w:qFormat/>
    <w:rsid w:val="000A282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A282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28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82C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28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82C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stampa@confprofession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 Milano 1</dc:creator>
  <cp:keywords/>
  <dc:description/>
  <cp:lastModifiedBy>Conf Milano 1</cp:lastModifiedBy>
  <cp:revision>1</cp:revision>
  <dcterms:created xsi:type="dcterms:W3CDTF">2025-08-21T10:30:00Z</dcterms:created>
  <dcterms:modified xsi:type="dcterms:W3CDTF">2025-08-21T10:36:00Z</dcterms:modified>
</cp:coreProperties>
</file>