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57" w:rsidRDefault="002F6457" w:rsidP="002F6457">
      <w:pPr>
        <w:spacing w:before="150" w:after="150" w:line="360" w:lineRule="auto"/>
        <w:jc w:val="center"/>
        <w:rPr>
          <w:rFonts w:ascii="Helvetica" w:hAnsi="Helvetica" w:cs="Helvetica"/>
          <w:color w:val="202020"/>
          <w:sz w:val="24"/>
          <w:szCs w:val="24"/>
        </w:rPr>
      </w:pPr>
      <w:r>
        <w:rPr>
          <w:rStyle w:val="Enfasigrassetto"/>
          <w:rFonts w:ascii="Helvetica" w:hAnsi="Helvetica" w:cs="Helvetica"/>
          <w:color w:val="202020"/>
          <w:sz w:val="18"/>
          <w:szCs w:val="18"/>
          <w:u w:val="single"/>
        </w:rPr>
        <w:t>COMUNICATO STAMPA</w:t>
      </w:r>
      <w:r>
        <w:rPr>
          <w:rFonts w:ascii="Helvetica" w:hAnsi="Helvetica" w:cs="Helvetica"/>
          <w:color w:val="202020"/>
          <w:sz w:val="24"/>
          <w:szCs w:val="24"/>
        </w:rPr>
        <w:br/>
      </w:r>
      <w:r>
        <w:rPr>
          <w:rFonts w:ascii="Helvetica" w:hAnsi="Helvetica" w:cs="Helvetica"/>
          <w:color w:val="202020"/>
          <w:sz w:val="24"/>
          <w:szCs w:val="24"/>
        </w:rPr>
        <w:br/>
      </w:r>
      <w:bookmarkStart w:id="0" w:name="_GoBack"/>
      <w:r>
        <w:rPr>
          <w:rStyle w:val="Enfasigrassetto"/>
          <w:color w:val="202020"/>
          <w:sz w:val="27"/>
          <w:szCs w:val="27"/>
        </w:rPr>
        <w:t>D.lgs. Correttivo disposizioni tributarie e CPB, Confprofessioni: vanno ripensate le limitazioni sull’accesso dei professionisti al Concordato</w:t>
      </w:r>
      <w:bookmarkEnd w:id="0"/>
      <w:r>
        <w:rPr>
          <w:rFonts w:ascii="Helvetica" w:hAnsi="Helvetica" w:cs="Helvetica"/>
          <w:color w:val="202020"/>
          <w:sz w:val="24"/>
          <w:szCs w:val="24"/>
        </w:rPr>
        <w:br/>
        <w:t> </w:t>
      </w:r>
    </w:p>
    <w:p w:rsidR="002F6457" w:rsidRDefault="002F6457" w:rsidP="002F6457">
      <w:pPr>
        <w:spacing w:before="150" w:after="150" w:line="360" w:lineRule="auto"/>
        <w:rPr>
          <w:rFonts w:ascii="Helvetica" w:hAnsi="Helvetica" w:cs="Helvetica"/>
          <w:color w:val="202020"/>
          <w:sz w:val="24"/>
          <w:szCs w:val="24"/>
        </w:rPr>
      </w:pPr>
      <w:r>
        <w:rPr>
          <w:rStyle w:val="Enfasicorsivo"/>
          <w:color w:val="202020"/>
          <w:sz w:val="20"/>
          <w:szCs w:val="20"/>
        </w:rPr>
        <w:t>Roma, 30 aprile 2025. </w:t>
      </w:r>
      <w:r>
        <w:rPr>
          <w:rFonts w:ascii="Times New Roman" w:hAnsi="Times New Roman" w:cs="Times New Roman"/>
          <w:color w:val="202020"/>
          <w:sz w:val="20"/>
          <w:szCs w:val="20"/>
        </w:rPr>
        <w:t>«Un provvedimento che contiene correzioni ad aspetti rilevanti della riforma fiscale e un pacchetto di modifiche al Concordato preventivo biennale, che resta un pilastro centrale nella strategia fiscale del Governo. Proprio per questo è necessario ripensare le limitazioni che si intende introdurre sui professionisti che operano in forma aggregata» è quanto afferma il Presidente di Confprofessioni, Marco Natali, nella memoria trasmessa alla Commissione Finanze della Camera dei deputati, sul d.lgs. “Disposizioni integrative e correttive in materia di adempimenti tributari, concordato preventivo biennale, contenzioso tributario e sanzioni tributarie” (A.G. n. 262).</w:t>
      </w:r>
      <w:r>
        <w:rPr>
          <w:rFonts w:ascii="Times New Roman" w:hAnsi="Times New Roman" w:cs="Times New Roman"/>
          <w:color w:val="202020"/>
          <w:sz w:val="20"/>
          <w:szCs w:val="20"/>
        </w:rPr>
        <w:br/>
      </w:r>
      <w:r>
        <w:rPr>
          <w:rFonts w:ascii="Times New Roman" w:hAnsi="Times New Roman" w:cs="Times New Roman"/>
          <w:color w:val="202020"/>
          <w:sz w:val="20"/>
          <w:szCs w:val="20"/>
        </w:rPr>
        <w:br/>
        <w:t>Nel documento Confprofessioni pone l’attenzione sulle ulteriori cause di esclusione e di cessazione dal CPB: «Le nuove cause di esclusione e cessazione del CPB contemplate dall’art. 8 del decreto, appaiono eccessivamente penalizzanti per i liberi professionisti che operano in forma aggregata, escludendoli di fatto dalla possibilità di aderire e beneficiare del concordato. Un problema che nasce da una norma che prevede che il “destino concordatario” della società/associazione professionale di appartenenza sia legato a quello di ogni professionista del sodalizio. La conseguenza è che la cessazione del CPB in capo a un singolo socio/associato travolge non solo la STP/associazione ma anche tutti i suoi soci/associati. Senza fare riferimento alle criticità della norma sul piano tecnico, che pure ci sono» – precisa il Presidente di Confprofessioni – «è evidente che in tal modo si genera una condizione di aleatorietà che indurrà i professionisti potenzialmente interessati a rinunciare al CPB».</w:t>
      </w:r>
      <w:r>
        <w:rPr>
          <w:rFonts w:ascii="Times New Roman" w:hAnsi="Times New Roman" w:cs="Times New Roman"/>
          <w:color w:val="202020"/>
          <w:sz w:val="20"/>
          <w:szCs w:val="20"/>
        </w:rPr>
        <w:br/>
      </w:r>
      <w:r>
        <w:rPr>
          <w:rFonts w:ascii="Times New Roman" w:hAnsi="Times New Roman" w:cs="Times New Roman"/>
          <w:color w:val="202020"/>
          <w:sz w:val="20"/>
          <w:szCs w:val="20"/>
        </w:rPr>
        <w:br/>
        <w:t>«La norma, peraltro, appare in forte contraddizione con il virtuoso percorso intrapreso dal Governo – e fortemente condiviso e sostenuto dalla nostra Confederazione – di incentivare e spingere i professionisti verso i processi di aggregazione con l’introduzione del principio di neutralità fiscale delle operazioni di aggregazione e riorganizzazione degli studi professionali, che ha lanciato un importante segnale al mondo professionale, promuovendo i modelli aggregati. «Pertanto», conclude Natali, «Confprofessioni sollecita con forza un ripensamento di questa disposizione, chiedendo che anche i professionisti che operano in forma aggregata continuino a poter accedere al CPB alle condizioni previste per gli altri operatori economici». </w:t>
      </w:r>
      <w:r>
        <w:rPr>
          <w:rFonts w:ascii="Helvetica" w:hAnsi="Helvetica" w:cs="Helvetica"/>
          <w:color w:val="202020"/>
          <w:sz w:val="24"/>
          <w:szCs w:val="24"/>
        </w:rPr>
        <w:br/>
      </w:r>
      <w:r>
        <w:rPr>
          <w:rFonts w:ascii="Helvetica" w:hAnsi="Helvetica" w:cs="Helvetica"/>
          <w:color w:val="202020"/>
          <w:sz w:val="24"/>
          <w:szCs w:val="24"/>
        </w:rPr>
        <w:br/>
      </w:r>
      <w:r>
        <w:rPr>
          <w:rFonts w:ascii="Helvetica" w:hAnsi="Helvetica" w:cs="Helvetica"/>
          <w:color w:val="202020"/>
          <w:sz w:val="24"/>
          <w:szCs w:val="24"/>
        </w:rPr>
        <w:br/>
      </w:r>
      <w:r>
        <w:rPr>
          <w:rStyle w:val="Enfasigrassetto"/>
          <w:color w:val="202020"/>
          <w:sz w:val="17"/>
          <w:szCs w:val="17"/>
        </w:rPr>
        <w:t>Ufficio stampa Confprofessioni</w:t>
      </w:r>
      <w:r>
        <w:rPr>
          <w:rFonts w:ascii="Times New Roman" w:hAnsi="Times New Roman" w:cs="Times New Roman"/>
          <w:color w:val="202020"/>
          <w:sz w:val="17"/>
          <w:szCs w:val="17"/>
        </w:rPr>
        <w:br/>
        <w:t xml:space="preserve">Mail: </w:t>
      </w:r>
      <w:hyperlink r:id="rId7" w:history="1">
        <w:r>
          <w:rPr>
            <w:rStyle w:val="Collegamentoipertestuale"/>
            <w:rFonts w:ascii="Times New Roman" w:hAnsi="Times New Roman" w:cs="Times New Roman"/>
            <w:color w:val="007C89"/>
            <w:sz w:val="17"/>
            <w:szCs w:val="17"/>
          </w:rPr>
          <w:t>ufficiostampa@confprofessioni.eu</w:t>
        </w:r>
      </w:hyperlink>
      <w:r>
        <w:rPr>
          <w:rFonts w:ascii="Times New Roman" w:hAnsi="Times New Roman" w:cs="Times New Roman"/>
          <w:color w:val="202020"/>
          <w:sz w:val="17"/>
          <w:szCs w:val="17"/>
        </w:rPr>
        <w:br/>
        <w:t>Tel. 06 54220278</w:t>
      </w:r>
    </w:p>
    <w:p w:rsidR="00AF293A" w:rsidRPr="00F61396" w:rsidRDefault="00AF293A" w:rsidP="000E53BD">
      <w:pPr>
        <w:rPr>
          <w:rFonts w:ascii="Times New Roman" w:hAnsi="Times New Roman" w:cs="Times New Roman"/>
          <w:sz w:val="24"/>
          <w:szCs w:val="24"/>
        </w:rPr>
      </w:pPr>
    </w:p>
    <w:sectPr w:rsidR="00AF293A" w:rsidRPr="00F6139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EAB" w:rsidRDefault="00172EAB" w:rsidP="00F80931">
      <w:r>
        <w:separator/>
      </w:r>
    </w:p>
  </w:endnote>
  <w:endnote w:type="continuationSeparator" w:id="0">
    <w:p w:rsidR="00172EAB" w:rsidRDefault="00172EAB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EAB" w:rsidRDefault="00172EAB" w:rsidP="00F80931">
      <w:r>
        <w:separator/>
      </w:r>
    </w:p>
  </w:footnote>
  <w:footnote w:type="continuationSeparator" w:id="0">
    <w:p w:rsidR="00172EAB" w:rsidRDefault="00172EAB" w:rsidP="00F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457" w:rsidRDefault="002F6457" w:rsidP="002F6457">
    <w:pPr>
      <w:pStyle w:val="Intestazione"/>
      <w:jc w:val="center"/>
    </w:pPr>
    <w:r>
      <w:rPr>
        <w:rFonts w:eastAsia="Times New Roman"/>
        <w:noProof/>
      </w:rPr>
      <w:drawing>
        <wp:inline distT="0" distB="0" distL="0" distR="0">
          <wp:extent cx="2575560" cy="586740"/>
          <wp:effectExtent l="0" t="0" r="0" b="3810"/>
          <wp:docPr id="16" name="Immagine 16" descr="https://mcusercontent.com/af0169536717b4a8575cf8320/images/06bb6bec-d3d3-f801-cea1-79de705335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ttps://mcusercontent.com/af0169536717b4a8575cf8320/images/06bb6bec-d3d3-f801-cea1-79de705335b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E53BD"/>
    <w:rsid w:val="00172EAB"/>
    <w:rsid w:val="00221981"/>
    <w:rsid w:val="002F6457"/>
    <w:rsid w:val="00597FDD"/>
    <w:rsid w:val="007E7E63"/>
    <w:rsid w:val="00942BC3"/>
    <w:rsid w:val="009E4C47"/>
    <w:rsid w:val="00A23C91"/>
    <w:rsid w:val="00AF293A"/>
    <w:rsid w:val="00B80660"/>
    <w:rsid w:val="00BB65F7"/>
    <w:rsid w:val="00C53710"/>
    <w:rsid w:val="00D258CC"/>
    <w:rsid w:val="00F40E74"/>
    <w:rsid w:val="00F61396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258CC"/>
    <w:pPr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8CC"/>
    <w:rPr>
      <w:rFonts w:ascii="Calibri" w:hAnsi="Calibri" w:cs="Calibri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C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confprofession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2025-08-22T12:01:00Z</dcterms:created>
  <dcterms:modified xsi:type="dcterms:W3CDTF">2025-08-22T12:01:00Z</dcterms:modified>
</cp:coreProperties>
</file>